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9C" w:rsidRPr="00C37127" w:rsidRDefault="00C1109C" w:rsidP="00C1109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bookmarkStart w:id="0" w:name="_GoBack"/>
      <w:bookmarkEnd w:id="0"/>
      <w:r w:rsidRPr="00C3712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Załącznik Nr 4</w:t>
      </w:r>
    </w:p>
    <w:p w:rsidR="00C1109C" w:rsidRPr="00C37127" w:rsidRDefault="00C1109C" w:rsidP="00C1109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C3712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Do Regulaminu realizacji</w:t>
      </w:r>
    </w:p>
    <w:p w:rsidR="00C1109C" w:rsidRPr="00C37127" w:rsidRDefault="00C1109C" w:rsidP="00C1109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C3712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Programu usuwania wyrobów</w:t>
      </w:r>
    </w:p>
    <w:p w:rsidR="00C1109C" w:rsidRPr="00C37127" w:rsidRDefault="00C1109C" w:rsidP="00C1109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C3712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zawierających azbest z terenu </w:t>
      </w:r>
    </w:p>
    <w:p w:rsidR="00C1109C" w:rsidRPr="00C37127" w:rsidRDefault="00C1109C" w:rsidP="00C1109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C3712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Gminy Frombork na lata 2015-2032 w roku 2017</w:t>
      </w:r>
    </w:p>
    <w:p w:rsidR="00C1109C" w:rsidRPr="00C37127" w:rsidRDefault="00C1109C" w:rsidP="00C1109C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</w:p>
    <w:p w:rsidR="00C1109C" w:rsidRDefault="00C1109C" w:rsidP="00C1109C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</w:p>
    <w:p w:rsidR="00C1109C" w:rsidRPr="00C37127" w:rsidRDefault="00C1109C" w:rsidP="00C1109C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lang w:eastAsia="pl-PL"/>
        </w:rPr>
        <w:t>OCENA</w:t>
      </w:r>
    </w:p>
    <w:p w:rsidR="00C1109C" w:rsidRPr="00C37127" w:rsidRDefault="00C1109C" w:rsidP="00C1109C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lang w:eastAsia="pl-PL"/>
        </w:rPr>
        <w:t>stanu i możliwości bezpiecznego użytkowania wyrobów zawierających azbest</w:t>
      </w:r>
    </w:p>
    <w:p w:rsidR="00C1109C" w:rsidRPr="00C37127" w:rsidRDefault="00C1109C" w:rsidP="00C1109C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lang w:eastAsia="pl-PL"/>
        </w:rPr>
      </w:pPr>
    </w:p>
    <w:p w:rsidR="00C1109C" w:rsidRPr="00C37127" w:rsidRDefault="00C1109C" w:rsidP="00C1109C">
      <w:pPr>
        <w:spacing w:after="0" w:line="36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C37127">
        <w:rPr>
          <w:rFonts w:ascii="Times New Roman" w:eastAsia="Times New Roman" w:hAnsi="Times New Roman"/>
          <w:sz w:val="22"/>
          <w:szCs w:val="20"/>
          <w:lang w:eastAsia="pl-PL"/>
        </w:rPr>
        <w:t xml:space="preserve">Nazwa miejsca/obiektu/urządzenia budowlanego/instalacji przemysłowej: </w:t>
      </w:r>
    </w:p>
    <w:p w:rsidR="00C1109C" w:rsidRPr="00C37127" w:rsidRDefault="00C1109C" w:rsidP="00C1109C">
      <w:pPr>
        <w:spacing w:after="0" w:line="36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C37127">
        <w:rPr>
          <w:rFonts w:ascii="Times New Roman" w:eastAsia="Times New Roman" w:hAnsi="Times New Roman"/>
          <w:sz w:val="22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C1109C" w:rsidRPr="00C37127" w:rsidRDefault="00C1109C" w:rsidP="00C1109C">
      <w:pPr>
        <w:spacing w:after="0" w:line="36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C37127">
        <w:rPr>
          <w:rFonts w:ascii="Times New Roman" w:eastAsia="Times New Roman" w:hAnsi="Times New Roman"/>
          <w:sz w:val="22"/>
          <w:szCs w:val="20"/>
          <w:lang w:eastAsia="pl-PL"/>
        </w:rPr>
        <w:t xml:space="preserve">Adres miejsca/obiektu/urządzenia budowlanego/instalacji przemysłowej: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.........................................................................................................................................................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Rodzaj zabudowy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1)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:.........................................................................................................................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Numer działki ewidencyjnej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2)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 .........................................................................................................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Numer obrębu ewidencyjnego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2)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 .....................................................................................................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Nazwa, rodzaj wyrobu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3)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 .................................................................................................................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Ilość wyrobów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4)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 ..............................................................................................................................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Data sporządzenia poprzedniej oceny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5)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 ........................................................................................ 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850"/>
        <w:gridCol w:w="851"/>
      </w:tblGrid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Grupa/ nr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Rodzaj i stan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Punkty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Ocena</w:t>
            </w: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4</w:t>
            </w: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  <w:t>Sposób zastosowania azbestu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Powierzchnia pokryta masą natryskową z azbestem (torkret)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Tynk zawierający azbest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Lekkie płyty izolacyjne z azbestem (ciężar obj. &lt; 1 000 kg/m</w:t>
            </w:r>
            <w:r w:rsidRPr="00C37127">
              <w:rPr>
                <w:rFonts w:ascii="Times New Roman" w:eastAsia="Times New Roman" w:hAnsi="Times New Roman"/>
                <w:snapToGrid w:val="0"/>
                <w:sz w:val="22"/>
                <w:vertAlign w:val="superscript"/>
                <w:lang w:eastAsia="pl-PL"/>
              </w:rPr>
              <w:t>3</w:t>
            </w: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Duże uszkodzenia powierzchni, naruszona struktura włókien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Warstwa zabezpieczająca bez uszkodzeń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Wyrób jest przedmiotem jakichś prac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C37127">
                <w:rPr>
                  <w:rFonts w:ascii="Times New Roman" w:eastAsia="Times New Roman" w:hAnsi="Times New Roman"/>
                  <w:snapToGrid w:val="0"/>
                  <w:sz w:val="22"/>
                  <w:lang w:eastAsia="pl-PL"/>
                </w:rPr>
                <w:t>2 m</w:t>
              </w:r>
            </w:smartTag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Wyrób narażony na uszkodzenia mechaniczne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Wyrób narażony na wstrząsy i drgania lub czynniki atmosferyczne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Wyrób nie jest narażony na wpływy zewnętrzne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IV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Miejsce usytuowania wyrobu w stosunku do pomieszczeń użytkowych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Bezpośrednio w pomieszczeniu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Za zawieszonym, nieszczelnym sufitem lub innym pokryciem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Na zewnątrz obiektu (np. tynk)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Za zawieszonym szczelnym sufitem lub innym pokryciem, ponad </w:t>
            </w: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lastRenderedPageBreak/>
              <w:t>pyłoszczelną powierzchnią lub poza szczelnym kanałem wentylacyjnym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lastRenderedPageBreak/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Wykorzystanie miejsca/obiektu/urządzenia budowlanego/instalacji przemysłowej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Regularne przez dzieci, młodzież lub sportowców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Stałe lub częste (np. zamieszkanie, miejsce pracy)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Czasowe (np. domki rekreacyjne)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Rzadkie (np. strychy, piwnice, komórki)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rPr>
          <w:trHeight w:val="34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SUMA PUNKTÓW OCENY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rPr>
          <w:trHeight w:val="36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STOPIEŃ PILNOŚCI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</w:tbl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</w:pP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UWAGA:</w:t>
      </w: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 xml:space="preserve">Stopień pilności I </w:t>
      </w: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od 120 punktów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wymagane pilnie usunięcie (wymiana na wyrób bezazbestowy) lub zabezpieczenie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Stopień pilności II</w:t>
      </w: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 od 95 do 115 punktów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wymagana ponowna ocena w terminie do 1 roku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Stopień pilności III</w:t>
      </w: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 do 90 punktów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wymagana ponowna ocena w terminie do 5 lat 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lang w:eastAsia="pl-PL"/>
        </w:rPr>
      </w:pPr>
      <w:r w:rsidRPr="00C37127">
        <w:rPr>
          <w:rFonts w:ascii="Times New Roman" w:eastAsia="Times New Roman" w:hAnsi="Times New Roman"/>
          <w:snapToGrid w:val="0"/>
          <w:lang w:eastAsia="pl-PL"/>
        </w:rPr>
        <w:t>.............................................                                             ...........................................................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             Oceniający </w:t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  <w:t xml:space="preserve">              Właściciel/ Zarządca                                                              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        (nazwisko i imię) </w:t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  <w:t>(podpis)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…………………………………..</w:t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  <w:t>…………………………………….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         ( miejscowość, data)                                                                                   (adres lub pieczęć z adresem)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lang w:eastAsia="pl-PL"/>
        </w:rPr>
      </w:pPr>
    </w:p>
    <w:p w:rsidR="00C1109C" w:rsidRDefault="00C1109C" w:rsidP="00C1109C">
      <w:pPr>
        <w:spacing w:after="0" w:line="240" w:lineRule="auto"/>
        <w:rPr>
          <w:rFonts w:ascii="Times New Roman" w:eastAsia="Times New Roman" w:hAnsi="Times New Roman"/>
          <w:b/>
          <w:snapToGrid w:val="0"/>
          <w:sz w:val="18"/>
          <w:szCs w:val="18"/>
          <w:lang w:eastAsia="pl-PL"/>
        </w:rPr>
      </w:pPr>
    </w:p>
    <w:p w:rsidR="00C1109C" w:rsidRDefault="00C1109C" w:rsidP="00C1109C">
      <w:pPr>
        <w:spacing w:after="0" w:line="240" w:lineRule="auto"/>
        <w:rPr>
          <w:rFonts w:ascii="Times New Roman" w:eastAsia="Times New Roman" w:hAnsi="Times New Roman"/>
          <w:b/>
          <w:snapToGrid w:val="0"/>
          <w:sz w:val="18"/>
          <w:szCs w:val="18"/>
          <w:lang w:eastAsia="pl-PL"/>
        </w:rPr>
      </w:pPr>
    </w:p>
    <w:p w:rsidR="00C1109C" w:rsidRDefault="00C1109C" w:rsidP="00C1109C">
      <w:pPr>
        <w:spacing w:after="0" w:line="240" w:lineRule="auto"/>
        <w:rPr>
          <w:rFonts w:ascii="Times New Roman" w:eastAsia="Times New Roman" w:hAnsi="Times New Roman"/>
          <w:b/>
          <w:snapToGrid w:val="0"/>
          <w:sz w:val="18"/>
          <w:szCs w:val="18"/>
          <w:lang w:eastAsia="pl-PL"/>
        </w:rPr>
      </w:pPr>
    </w:p>
    <w:p w:rsidR="00C1109C" w:rsidRPr="00991446" w:rsidRDefault="00C1109C" w:rsidP="00C1109C">
      <w:pPr>
        <w:spacing w:after="0" w:line="240" w:lineRule="auto"/>
        <w:rPr>
          <w:rFonts w:ascii="Times New Roman" w:eastAsia="Times New Roman" w:hAnsi="Times New Roman"/>
          <w:b/>
          <w:snapToGrid w:val="0"/>
          <w:lang w:eastAsia="pl-PL"/>
        </w:rPr>
      </w:pPr>
      <w:r w:rsidRPr="00991446">
        <w:rPr>
          <w:rFonts w:ascii="Times New Roman" w:eastAsia="Times New Roman" w:hAnsi="Times New Roman"/>
          <w:b/>
          <w:snapToGrid w:val="0"/>
          <w:lang w:eastAsia="pl-PL"/>
        </w:rPr>
        <w:t xml:space="preserve">Objaśnienia: </w:t>
      </w:r>
    </w:p>
    <w:p w:rsidR="00C1109C" w:rsidRPr="00991446" w:rsidRDefault="00C1109C" w:rsidP="00C1109C">
      <w:pPr>
        <w:spacing w:after="0" w:line="240" w:lineRule="auto"/>
        <w:rPr>
          <w:rFonts w:ascii="Times New Roman" w:eastAsia="Times New Roman" w:hAnsi="Times New Roman"/>
          <w:b/>
          <w:snapToGrid w:val="0"/>
          <w:lang w:eastAsia="pl-PL"/>
        </w:rPr>
      </w:pP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991446">
        <w:rPr>
          <w:rFonts w:ascii="Times New Roman" w:eastAsia="Times New Roman" w:hAnsi="Times New Roman"/>
          <w:snapToGrid w:val="0"/>
          <w:vertAlign w:val="superscript"/>
          <w:lang w:eastAsia="pl-PL"/>
        </w:rPr>
        <w:t>1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)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Należy podać rodzaj zabudowy: budynek mieszkalny, budynek gospodarczy, budynek przemysłowy, inny.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2)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Należy podać numer obrębu ewidencyjnego i numer działki ewidencyjnej faktycznego miejsca występowania azbestu.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3)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Przy określaniu rodzaju wyrobu zawierającego azbest należy stosować następującą klasyfikację: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płyty azbestowo-cementowe płaskie stosowane w budownictwie, </w:t>
      </w:r>
    </w:p>
    <w:p w:rsidR="00C1109C" w:rsidRPr="003371FA" w:rsidRDefault="00C1109C" w:rsidP="00C1109C">
      <w:pPr>
        <w:keepNext/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18"/>
          <w:szCs w:val="18"/>
          <w:lang w:eastAsia="hi-IN" w:bidi="hi-IN"/>
        </w:rPr>
      </w:pPr>
      <w:r w:rsidRPr="003371FA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 xml:space="preserve">- płyty faliste azbestowo-cementowe dla budownictwa,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rury i złącza azbestowo-cementowe,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izolacje natryskowe środkami zawierającymi w swoim składzie azbest,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wyroby cierne azbestowo-kauczukowe,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przędza specjalna, w tym włókna azbestowe obrobione,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szczeliwa azbestowe, </w:t>
      </w:r>
    </w:p>
    <w:p w:rsidR="00C1109C" w:rsidRPr="003371FA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taśmy tkane i plecione, sznury i sznurki, </w:t>
      </w:r>
    </w:p>
    <w:p w:rsidR="00C1109C" w:rsidRPr="003371FA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wyroby azbestowo-kauczukowe, z wyjątkiem wyrobów ciernych, </w:t>
      </w:r>
    </w:p>
    <w:p w:rsidR="00C1109C" w:rsidRPr="003371FA" w:rsidRDefault="00C1109C" w:rsidP="00C1109C">
      <w:pPr>
        <w:keepNext/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18"/>
          <w:szCs w:val="18"/>
          <w:lang w:eastAsia="hi-IN" w:bidi="hi-IN"/>
        </w:rPr>
      </w:pPr>
      <w:r w:rsidRPr="003371FA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 xml:space="preserve">- papier, tektura, </w:t>
      </w:r>
    </w:p>
    <w:p w:rsidR="00C1109C" w:rsidRPr="003371FA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inne wyroby zawierające azbest, oddzielnie niewymienione, w tym papier i tektura, podać jakie. </w:t>
      </w:r>
    </w:p>
    <w:p w:rsidR="00C1109C" w:rsidRPr="003371FA" w:rsidRDefault="00C1109C" w:rsidP="00C1109C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4)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Ilość wyrobów azbestowych podana w jednostkach masy (Mg) oraz w jednostkach właściwych dla danego wyrobu </w:t>
      </w:r>
      <w:r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                    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(m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2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, m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3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, </w:t>
      </w:r>
      <w:proofErr w:type="spellStart"/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mb</w:t>
      </w:r>
      <w:proofErr w:type="spellEnd"/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).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5)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Należy podać datę przeprowadzenia poprzedniej oceny; jeśli jest to pierwsza ocena, należy wpisać "pierwsza ocena".</w:t>
      </w:r>
    </w:p>
    <w:p w:rsidR="00F86662" w:rsidRDefault="00F86662"/>
    <w:sectPr w:rsidR="00F86662" w:rsidSect="00C110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E1"/>
    <w:rsid w:val="00C1109C"/>
    <w:rsid w:val="00C76FE1"/>
    <w:rsid w:val="00EB7BA1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09C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09C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Misiuk</dc:creator>
  <cp:lastModifiedBy>Serwer 1</cp:lastModifiedBy>
  <cp:revision>3</cp:revision>
  <cp:lastPrinted>2017-01-31T13:51:00Z</cp:lastPrinted>
  <dcterms:created xsi:type="dcterms:W3CDTF">2017-01-31T08:40:00Z</dcterms:created>
  <dcterms:modified xsi:type="dcterms:W3CDTF">2017-01-31T13:52:00Z</dcterms:modified>
</cp:coreProperties>
</file>